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COMPLAINTS HANDLING POLICY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Huis in 't Veld House Incorporated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Document 09 - Complaints, Feedback and Resolution Framework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Status: Draft for founding adoption, committee review, ACNC and grant governance file.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1. Purpose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Complaints Handling Policy sets out how Huis in 't Veld House Incorporated receives, records, assesses, responds to and learns from complaints, feedback and concerns. It supports transparent governance, child-safe practice, trauma-informed service delivery, fair treatment, grant readiness and public confidence.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 Association welcomes complaints and feedback as a way to identify risk, improve programs, correct mistakes and protect the people it serves. A complaint made in good faith must never be treated as disloyalty or punished.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2. Scope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Policy applies to complaints or feedback about the Association's governance, programs, referrals, intake, fundraising, donations, second-hand goods store, events, staff, volunteers, contractors, Committee members, members, advisers, privacy, safety, property, communications and use of funds.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It applies to complaints made by service users, parents, children and young people, family members, referrers, staff, volunteers, members, donors, customers, neighbours, partner organisations and members of the public.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3. Principles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Accessibility: people must be able to complain in a way that is simple, safe and understandable.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Respect: people making complaints must be treated with dignity, patience and fairness.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Child safety: complaints involving children or young people must be prioritised and handled under safeguarding pathways.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Trauma-informed response: the Association must avoid blame, humiliation, intimidation or unnecessary repetition of distressing details.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Natural justice: people affected by a complaint should be informed of relevant concerns and given a fair opportunity to respond, unless doing so would create safety, legal or investigation risk.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Confidentiality: complaint information must be shared only with people who need it to respond lawfully and safely.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No retaliation: no person may be punished, excluded, threatened or disadvantaged for making a complaint in good faith.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Continuous improvement: complaints must be reviewed for patterns, risks and opportunities to improve.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