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Document 04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Interest Declaration Policy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Huis in 't Veld House Incorporated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Purpose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This policy sets out how the Association records and manages situations where a decision-maker has a personal, financial, family, employment, property or business interest connected to a matter being decided by the Association.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Scope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This policy applies to committee members, office holders, employees, contractors, volunteers, advisers, working groups, members involved in decisions, founders and authorised representatives.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Policy position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The Association must make decisions in the best interests of the Association and for its charitable purposes. A person involved in a decision must disclose any interest that could affect, or appear to affect, their independent judgement.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A disclosed interest is not automatically wrongdoing. It must be recorded, assessed and managed so the Association can make a fair, transparent and properly documented decision.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Interest Declaration Policy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Huis in 't Veld House Incorporated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Purpose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This policy sets out how the Association records and manages situations where a decision-maker has a personal, financial, family, employment, property or business interest connected to a matter being decided by the Association.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Scope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This policy applies to committee members, office holders, employees, contractors, volunteers, advisers, working groups, members involved in decisions, founders and authorised representatives.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Policy position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The Association must make decisions in the best interests of the Association and for its charitable purposes. A person involved in a decision must disclose any interest that could affect, or appear to affect, their independent judgement.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A disclosed interest is not automatically wrongdoing. It must be recorded, assessed and managed so the Association can make a fair, transparent and properly documented decision.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